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09" w:rsidRDefault="00EF5E09" w:rsidP="00EF5E0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李四光地质科学奖申请人简表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62"/>
        <w:gridCol w:w="1356"/>
        <w:gridCol w:w="878"/>
        <w:gridCol w:w="1450"/>
        <w:gridCol w:w="1236"/>
        <w:gridCol w:w="2761"/>
        <w:gridCol w:w="14"/>
      </w:tblGrid>
      <w:tr w:rsidR="00EF5E09" w:rsidTr="008E7AE7">
        <w:trPr>
          <w:gridAfter w:val="1"/>
          <w:wAfter w:w="14" w:type="dxa"/>
          <w:jc w:val="center"/>
        </w:trPr>
        <w:tc>
          <w:tcPr>
            <w:tcW w:w="1360" w:type="dxa"/>
            <w:gridSpan w:val="2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1356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刘文汇</w:t>
            </w:r>
          </w:p>
        </w:tc>
        <w:tc>
          <w:tcPr>
            <w:tcW w:w="878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450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36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2761" w:type="dxa"/>
            <w:vAlign w:val="center"/>
          </w:tcPr>
          <w:p w:rsidR="00EF5E09" w:rsidRDefault="00EF5E09" w:rsidP="008E7AE7">
            <w:pPr>
              <w:spacing w:line="360" w:lineRule="auto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1957年1月</w:t>
            </w:r>
          </w:p>
        </w:tc>
      </w:tr>
      <w:tr w:rsidR="00EF5E09" w:rsidTr="008E7AE7">
        <w:trPr>
          <w:gridAfter w:val="1"/>
          <w:wAfter w:w="14" w:type="dxa"/>
          <w:jc w:val="center"/>
        </w:trPr>
        <w:tc>
          <w:tcPr>
            <w:tcW w:w="1360" w:type="dxa"/>
            <w:gridSpan w:val="2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7681" w:type="dxa"/>
            <w:gridSpan w:val="5"/>
            <w:vAlign w:val="center"/>
          </w:tcPr>
          <w:p w:rsidR="00EF5E09" w:rsidRDefault="00EF5E09" w:rsidP="008E7AE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西北大学</w:t>
            </w:r>
          </w:p>
        </w:tc>
      </w:tr>
      <w:tr w:rsidR="00EF5E09" w:rsidTr="008E7AE7">
        <w:trPr>
          <w:jc w:val="center"/>
        </w:trPr>
        <w:tc>
          <w:tcPr>
            <w:tcW w:w="1360" w:type="dxa"/>
            <w:gridSpan w:val="2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356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</w:t>
            </w:r>
            <w:r w:rsidR="007D6F9B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/>
                <w:szCs w:val="21"/>
              </w:rPr>
              <w:t>党员</w:t>
            </w:r>
          </w:p>
        </w:tc>
        <w:tc>
          <w:tcPr>
            <w:tcW w:w="878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450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236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775" w:type="dxa"/>
            <w:gridSpan w:val="2"/>
            <w:vAlign w:val="center"/>
          </w:tcPr>
          <w:p w:rsidR="00EF5E09" w:rsidRDefault="00EF5E09" w:rsidP="008E7AE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F5E09" w:rsidTr="008E7AE7">
        <w:trPr>
          <w:gridAfter w:val="1"/>
          <w:wAfter w:w="14" w:type="dxa"/>
          <w:jc w:val="center"/>
        </w:trPr>
        <w:tc>
          <w:tcPr>
            <w:tcW w:w="1360" w:type="dxa"/>
            <w:gridSpan w:val="2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文化程度</w:t>
            </w:r>
          </w:p>
        </w:tc>
        <w:tc>
          <w:tcPr>
            <w:tcW w:w="1356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878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专业</w:t>
            </w:r>
          </w:p>
        </w:tc>
        <w:tc>
          <w:tcPr>
            <w:tcW w:w="5447" w:type="dxa"/>
            <w:gridSpan w:val="3"/>
            <w:vAlign w:val="center"/>
          </w:tcPr>
          <w:p w:rsidR="00EF5E09" w:rsidRDefault="00EF5E09" w:rsidP="008E7AE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石油天然气地质学</w:t>
            </w:r>
          </w:p>
        </w:tc>
      </w:tr>
      <w:tr w:rsidR="00EF5E09" w:rsidTr="008E7AE7">
        <w:trPr>
          <w:gridAfter w:val="1"/>
          <w:wAfter w:w="14" w:type="dxa"/>
          <w:jc w:val="center"/>
        </w:trPr>
        <w:tc>
          <w:tcPr>
            <w:tcW w:w="698" w:type="dxa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主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要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果</w:t>
            </w:r>
          </w:p>
        </w:tc>
        <w:tc>
          <w:tcPr>
            <w:tcW w:w="8343" w:type="dxa"/>
            <w:gridSpan w:val="6"/>
          </w:tcPr>
          <w:p w:rsidR="00EF5E09" w:rsidRDefault="00EF5E09" w:rsidP="008E7AE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1、揭示了稀有气体同位素在天然气成藏过程中的地球化学行为，成功地将氦、氩同位素年代积累</w:t>
            </w:r>
            <w:bookmarkStart w:id="0" w:name="_GoBack"/>
            <w:bookmarkEnd w:id="0"/>
            <w:r>
              <w:rPr>
                <w:rFonts w:ascii="楷体" w:eastAsia="楷体" w:hAnsi="楷体" w:cs="楷体"/>
                <w:szCs w:val="21"/>
              </w:rPr>
              <w:t>效应用于天然气成藏年代研究；</w:t>
            </w:r>
          </w:p>
          <w:p w:rsidR="00EF5E09" w:rsidRDefault="00EF5E09" w:rsidP="008E7AE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2、揭示了叠合盆地海相层系天然气多种来源、多元生烃机理，夯实了深层天然气勘探的理论基础，拓展了天然气勘探新领域；</w:t>
            </w:r>
          </w:p>
          <w:p w:rsidR="00EF5E09" w:rsidRDefault="00EF5E09" w:rsidP="008E7AE7">
            <w:pPr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3、建立了典型天然气类型的成因模式，揭示了天然气碳、氢同位素分馏机理，完善了天然气成因理论。</w:t>
            </w:r>
          </w:p>
        </w:tc>
      </w:tr>
      <w:tr w:rsidR="00EF5E09" w:rsidTr="008E7AE7">
        <w:trPr>
          <w:gridAfter w:val="1"/>
          <w:wAfter w:w="14" w:type="dxa"/>
          <w:jc w:val="center"/>
        </w:trPr>
        <w:tc>
          <w:tcPr>
            <w:tcW w:w="698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发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表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论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著</w:t>
            </w:r>
          </w:p>
        </w:tc>
        <w:tc>
          <w:tcPr>
            <w:tcW w:w="8343" w:type="dxa"/>
            <w:gridSpan w:val="6"/>
          </w:tcPr>
          <w:p w:rsidR="00EF5E09" w:rsidRDefault="00EF5E09" w:rsidP="008E7AE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专著12部，论文244篇（SCI：49篇，EI：69篇）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line="300" w:lineRule="exact"/>
              <w:ind w:left="327" w:hangingChars="155" w:hanging="327"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Liu </w:t>
            </w:r>
            <w:proofErr w:type="spellStart"/>
            <w:r>
              <w:rPr>
                <w:b/>
                <w:bCs/>
                <w:szCs w:val="21"/>
              </w:rPr>
              <w:t>Wenhui</w:t>
            </w:r>
            <w:proofErr w:type="spellEnd"/>
            <w:r>
              <w:rPr>
                <w:szCs w:val="21"/>
              </w:rPr>
              <w:t xml:space="preserve">, Tao Cheng, </w:t>
            </w:r>
            <w:proofErr w:type="spellStart"/>
            <w:r>
              <w:rPr>
                <w:szCs w:val="21"/>
              </w:rPr>
              <w:t>Borjigin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Tenger</w:t>
            </w:r>
            <w:proofErr w:type="spellEnd"/>
            <w:r>
              <w:rPr>
                <w:szCs w:val="21"/>
              </w:rPr>
              <w:t xml:space="preserve">, Wang </w:t>
            </w:r>
            <w:proofErr w:type="spellStart"/>
            <w:r>
              <w:rPr>
                <w:szCs w:val="21"/>
              </w:rPr>
              <w:t>Jie</w:t>
            </w:r>
            <w:proofErr w:type="spellEnd"/>
            <w:r>
              <w:rPr>
                <w:szCs w:val="21"/>
              </w:rPr>
              <w:t xml:space="preserve">, Yang </w:t>
            </w:r>
            <w:proofErr w:type="spellStart"/>
            <w:r>
              <w:rPr>
                <w:szCs w:val="21"/>
              </w:rPr>
              <w:t>Huamin</w:t>
            </w:r>
            <w:proofErr w:type="spellEnd"/>
            <w:r>
              <w:rPr>
                <w:szCs w:val="21"/>
              </w:rPr>
              <w:t xml:space="preserve">, Wang Ping, </w:t>
            </w:r>
            <w:proofErr w:type="spellStart"/>
            <w:r>
              <w:rPr>
                <w:szCs w:val="21"/>
              </w:rPr>
              <w:t>Luo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Houyong</w:t>
            </w:r>
            <w:proofErr w:type="spellEnd"/>
            <w:r>
              <w:rPr>
                <w:szCs w:val="21"/>
              </w:rPr>
              <w:t xml:space="preserve">. Formation time of gas reservoir constrained by the time-accumulation effect of </w:t>
            </w:r>
            <w:r>
              <w:rPr>
                <w:szCs w:val="21"/>
                <w:vertAlign w:val="superscript"/>
              </w:rPr>
              <w:t>4</w:t>
            </w:r>
            <w:r>
              <w:rPr>
                <w:szCs w:val="21"/>
              </w:rPr>
              <w:t xml:space="preserve">He: Case study of the </w:t>
            </w:r>
            <w:proofErr w:type="spellStart"/>
            <w:r>
              <w:rPr>
                <w:szCs w:val="21"/>
              </w:rPr>
              <w:t>Puguang</w:t>
            </w:r>
            <w:proofErr w:type="spellEnd"/>
            <w:r>
              <w:rPr>
                <w:szCs w:val="21"/>
              </w:rPr>
              <w:t xml:space="preserve"> gas reservoir. Chemical Geology</w:t>
            </w:r>
            <w:proofErr w:type="gramStart"/>
            <w:r>
              <w:rPr>
                <w:szCs w:val="21"/>
              </w:rPr>
              <w:t>,(</w:t>
            </w:r>
            <w:proofErr w:type="gramEnd"/>
            <w:r>
              <w:rPr>
                <w:szCs w:val="21"/>
              </w:rPr>
              <w:t>SCI), 2017, 469:246-251.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line="300" w:lineRule="exact"/>
              <w:ind w:left="327" w:hangingChars="155" w:hanging="327"/>
              <w:rPr>
                <w:rFonts w:ascii="宋体" w:hAnsi="宋体"/>
                <w:szCs w:val="21"/>
              </w:rPr>
            </w:pPr>
            <w:r>
              <w:rPr>
                <w:b/>
                <w:szCs w:val="21"/>
              </w:rPr>
              <w:t xml:space="preserve">Liu </w:t>
            </w:r>
            <w:proofErr w:type="spellStart"/>
            <w:r>
              <w:rPr>
                <w:b/>
                <w:szCs w:val="21"/>
              </w:rPr>
              <w:t>Wenhui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Xu</w:t>
            </w:r>
            <w:proofErr w:type="spellEnd"/>
            <w:r>
              <w:rPr>
                <w:bCs/>
                <w:szCs w:val="21"/>
              </w:rPr>
              <w:t xml:space="preserve"> </w:t>
            </w:r>
            <w:proofErr w:type="spellStart"/>
            <w:r>
              <w:rPr>
                <w:bCs/>
                <w:szCs w:val="21"/>
              </w:rPr>
              <w:t>Yongchang</w:t>
            </w:r>
            <w:proofErr w:type="spellEnd"/>
            <w:r>
              <w:rPr>
                <w:bCs/>
                <w:szCs w:val="21"/>
              </w:rPr>
              <w:t xml:space="preserve">. Significance of the Isotopic Composition of </w:t>
            </w:r>
            <w:proofErr w:type="gramStart"/>
            <w:r>
              <w:rPr>
                <w:bCs/>
                <w:szCs w:val="21"/>
              </w:rPr>
              <w:t>He</w:t>
            </w:r>
            <w:proofErr w:type="gramEnd"/>
            <w:r>
              <w:rPr>
                <w:bCs/>
                <w:szCs w:val="21"/>
              </w:rPr>
              <w:t xml:space="preserve"> and </w:t>
            </w:r>
            <w:proofErr w:type="spellStart"/>
            <w:r>
              <w:rPr>
                <w:bCs/>
                <w:szCs w:val="21"/>
              </w:rPr>
              <w:t>Ar</w:t>
            </w:r>
            <w:proofErr w:type="spellEnd"/>
            <w:r>
              <w:rPr>
                <w:bCs/>
                <w:szCs w:val="21"/>
              </w:rPr>
              <w:t xml:space="preserve"> in Natural Gases. Chinese Science Bulletin, (SCI), 1993, 38(20):1726-1730.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line="300" w:lineRule="exact"/>
              <w:ind w:left="327" w:hangingChars="155" w:hanging="327"/>
              <w:rPr>
                <w:bCs/>
                <w:szCs w:val="21"/>
              </w:rPr>
            </w:pPr>
            <w:r>
              <w:rPr>
                <w:b/>
                <w:szCs w:val="21"/>
              </w:rPr>
              <w:t xml:space="preserve">Liu </w:t>
            </w:r>
            <w:proofErr w:type="spellStart"/>
            <w:r>
              <w:rPr>
                <w:b/>
                <w:szCs w:val="21"/>
              </w:rPr>
              <w:t>Wenhui</w:t>
            </w:r>
            <w:proofErr w:type="spellEnd"/>
            <w:r>
              <w:rPr>
                <w:bCs/>
                <w:szCs w:val="21"/>
              </w:rPr>
              <w:t xml:space="preserve">, Chen </w:t>
            </w:r>
            <w:proofErr w:type="spellStart"/>
            <w:r>
              <w:rPr>
                <w:bCs/>
                <w:szCs w:val="21"/>
              </w:rPr>
              <w:t>Mengjin</w:t>
            </w:r>
            <w:proofErr w:type="spellEnd"/>
            <w:r>
              <w:rPr>
                <w:bCs/>
                <w:szCs w:val="21"/>
              </w:rPr>
              <w:t xml:space="preserve">, Guan Ping, </w:t>
            </w:r>
            <w:proofErr w:type="spellStart"/>
            <w:r>
              <w:rPr>
                <w:bCs/>
                <w:szCs w:val="21"/>
              </w:rPr>
              <w:t>Zheng</w:t>
            </w:r>
            <w:proofErr w:type="spellEnd"/>
            <w:r>
              <w:rPr>
                <w:bCs/>
                <w:szCs w:val="21"/>
              </w:rPr>
              <w:t xml:space="preserve"> </w:t>
            </w:r>
            <w:proofErr w:type="spellStart"/>
            <w:r>
              <w:rPr>
                <w:bCs/>
                <w:szCs w:val="21"/>
              </w:rPr>
              <w:t>Jianjing</w:t>
            </w:r>
            <w:proofErr w:type="spellEnd"/>
            <w:r>
              <w:rPr>
                <w:bCs/>
                <w:szCs w:val="21"/>
              </w:rPr>
              <w:t xml:space="preserve">, Jin </w:t>
            </w:r>
            <w:proofErr w:type="spellStart"/>
            <w:r>
              <w:rPr>
                <w:bCs/>
                <w:szCs w:val="21"/>
              </w:rPr>
              <w:t>Qiang</w:t>
            </w:r>
            <w:proofErr w:type="spellEnd"/>
            <w:r>
              <w:rPr>
                <w:bCs/>
                <w:szCs w:val="21"/>
              </w:rPr>
              <w:t xml:space="preserve">, Li </w:t>
            </w:r>
            <w:proofErr w:type="spellStart"/>
            <w:r>
              <w:rPr>
                <w:bCs/>
                <w:szCs w:val="21"/>
              </w:rPr>
              <w:t>Jian</w:t>
            </w:r>
            <w:proofErr w:type="spellEnd"/>
            <w:r>
              <w:rPr>
                <w:bCs/>
                <w:szCs w:val="21"/>
              </w:rPr>
              <w:t xml:space="preserve">, Wang </w:t>
            </w:r>
            <w:proofErr w:type="spellStart"/>
            <w:r>
              <w:rPr>
                <w:bCs/>
                <w:szCs w:val="21"/>
              </w:rPr>
              <w:t>Wanchun</w:t>
            </w:r>
            <w:proofErr w:type="spellEnd"/>
            <w:r>
              <w:rPr>
                <w:bCs/>
                <w:szCs w:val="21"/>
              </w:rPr>
              <w:t xml:space="preserve">, Hu </w:t>
            </w:r>
            <w:proofErr w:type="spellStart"/>
            <w:r>
              <w:rPr>
                <w:bCs/>
                <w:szCs w:val="21"/>
              </w:rPr>
              <w:t>Guoyi</w:t>
            </w:r>
            <w:proofErr w:type="spellEnd"/>
            <w:r>
              <w:rPr>
                <w:bCs/>
                <w:szCs w:val="21"/>
              </w:rPr>
              <w:t xml:space="preserve">, Xia </w:t>
            </w:r>
            <w:proofErr w:type="spellStart"/>
            <w:r>
              <w:rPr>
                <w:bCs/>
                <w:szCs w:val="21"/>
              </w:rPr>
              <w:t>Yanqing</w:t>
            </w:r>
            <w:proofErr w:type="spellEnd"/>
            <w:r>
              <w:rPr>
                <w:bCs/>
                <w:szCs w:val="21"/>
              </w:rPr>
              <w:t xml:space="preserve">, Zhang </w:t>
            </w:r>
            <w:proofErr w:type="spellStart"/>
            <w:r>
              <w:rPr>
                <w:bCs/>
                <w:szCs w:val="21"/>
              </w:rPr>
              <w:t>Dianwei</w:t>
            </w:r>
            <w:proofErr w:type="spellEnd"/>
            <w:r>
              <w:rPr>
                <w:bCs/>
                <w:szCs w:val="21"/>
              </w:rPr>
              <w:t>. Ternary geochemical tracing system in natural gas accumulation. Science in China Series D: Earth Science, (SCI), 2007</w:t>
            </w:r>
            <w:proofErr w:type="gramStart"/>
            <w:r>
              <w:rPr>
                <w:bCs/>
                <w:szCs w:val="21"/>
              </w:rPr>
              <w:t>,50</w:t>
            </w:r>
            <w:proofErr w:type="gramEnd"/>
            <w:r>
              <w:rPr>
                <w:bCs/>
                <w:szCs w:val="21"/>
              </w:rPr>
              <w:t>(10):1494-1503.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line="300" w:lineRule="exact"/>
              <w:ind w:left="327" w:hangingChars="155" w:hanging="327"/>
              <w:rPr>
                <w:bCs/>
                <w:szCs w:val="21"/>
              </w:rPr>
            </w:pPr>
            <w:r>
              <w:rPr>
                <w:b/>
                <w:szCs w:val="21"/>
              </w:rPr>
              <w:t xml:space="preserve">Liu </w:t>
            </w:r>
            <w:proofErr w:type="spellStart"/>
            <w:r>
              <w:rPr>
                <w:b/>
                <w:szCs w:val="21"/>
              </w:rPr>
              <w:t>Wenhui</w:t>
            </w:r>
            <w:proofErr w:type="spellEnd"/>
            <w:r>
              <w:rPr>
                <w:bCs/>
                <w:szCs w:val="21"/>
              </w:rPr>
              <w:t xml:space="preserve">, Zhang </w:t>
            </w:r>
            <w:proofErr w:type="spellStart"/>
            <w:r>
              <w:rPr>
                <w:bCs/>
                <w:szCs w:val="21"/>
              </w:rPr>
              <w:t>Dianwei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bCs/>
                <w:szCs w:val="21"/>
              </w:rPr>
              <w:t>Gao</w:t>
            </w:r>
            <w:proofErr w:type="spellEnd"/>
            <w:proofErr w:type="gramEnd"/>
            <w:r>
              <w:rPr>
                <w:bCs/>
                <w:szCs w:val="21"/>
              </w:rPr>
              <w:t xml:space="preserve"> Bo, Fan Ming. Using geochemical tracing system to identify new types of gas sources in marine strata of the </w:t>
            </w:r>
            <w:proofErr w:type="spellStart"/>
            <w:r>
              <w:rPr>
                <w:bCs/>
                <w:szCs w:val="21"/>
              </w:rPr>
              <w:t>Hotan</w:t>
            </w:r>
            <w:proofErr w:type="spellEnd"/>
            <w:r>
              <w:rPr>
                <w:bCs/>
                <w:szCs w:val="21"/>
              </w:rPr>
              <w:t xml:space="preserve"> River Gas Field in the </w:t>
            </w:r>
            <w:proofErr w:type="spellStart"/>
            <w:r>
              <w:rPr>
                <w:bCs/>
                <w:szCs w:val="21"/>
              </w:rPr>
              <w:t>Tarim</w:t>
            </w:r>
            <w:proofErr w:type="spellEnd"/>
            <w:r>
              <w:rPr>
                <w:bCs/>
                <w:szCs w:val="21"/>
              </w:rPr>
              <w:t xml:space="preserve"> Basin. Science China: Earth Science, (SCI), 2010, 55(6):844-853.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line="300" w:lineRule="exact"/>
              <w:ind w:left="327" w:hangingChars="155" w:hanging="327"/>
              <w:rPr>
                <w:bCs/>
                <w:szCs w:val="21"/>
              </w:rPr>
            </w:pPr>
            <w:r>
              <w:rPr>
                <w:b/>
                <w:szCs w:val="21"/>
              </w:rPr>
              <w:t xml:space="preserve">Liu </w:t>
            </w:r>
            <w:proofErr w:type="spellStart"/>
            <w:r>
              <w:rPr>
                <w:b/>
                <w:szCs w:val="21"/>
              </w:rPr>
              <w:t>Wenhui</w:t>
            </w:r>
            <w:proofErr w:type="spellEnd"/>
            <w:r>
              <w:rPr>
                <w:bCs/>
                <w:szCs w:val="21"/>
              </w:rPr>
              <w:t xml:space="preserve">, Wang </w:t>
            </w:r>
            <w:proofErr w:type="spellStart"/>
            <w:r>
              <w:rPr>
                <w:bCs/>
                <w:szCs w:val="21"/>
              </w:rPr>
              <w:t>Jie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Tenger</w:t>
            </w:r>
            <w:proofErr w:type="spellEnd"/>
            <w:r>
              <w:rPr>
                <w:bCs/>
                <w:szCs w:val="21"/>
              </w:rPr>
              <w:t xml:space="preserve">, Qin </w:t>
            </w:r>
            <w:proofErr w:type="spellStart"/>
            <w:r>
              <w:rPr>
                <w:bCs/>
                <w:szCs w:val="21"/>
              </w:rPr>
              <w:t>Jianzhong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Zheng</w:t>
            </w:r>
            <w:proofErr w:type="spellEnd"/>
            <w:r>
              <w:rPr>
                <w:bCs/>
                <w:szCs w:val="21"/>
              </w:rPr>
              <w:t xml:space="preserve"> </w:t>
            </w:r>
            <w:proofErr w:type="spellStart"/>
            <w:r>
              <w:rPr>
                <w:bCs/>
                <w:szCs w:val="21"/>
              </w:rPr>
              <w:t>Lunju</w:t>
            </w:r>
            <w:proofErr w:type="spellEnd"/>
            <w:r>
              <w:rPr>
                <w:bCs/>
                <w:szCs w:val="21"/>
              </w:rPr>
              <w:t>. Stable carbon isotopes of gaseous alkanes as genetic indicators inferred from laboratory pyrolysis experiments of various marine hydrocarbon source materials from southern China. Science China: Earth Science, (SCI), 2012, 55(6):966-974.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line="300" w:lineRule="exact"/>
              <w:ind w:left="327" w:hangingChars="155" w:hanging="327"/>
              <w:rPr>
                <w:bCs/>
                <w:szCs w:val="21"/>
              </w:rPr>
            </w:pPr>
            <w:r>
              <w:rPr>
                <w:b/>
                <w:szCs w:val="21"/>
              </w:rPr>
              <w:t xml:space="preserve">Liu </w:t>
            </w:r>
            <w:proofErr w:type="spellStart"/>
            <w:r>
              <w:rPr>
                <w:b/>
                <w:szCs w:val="21"/>
              </w:rPr>
              <w:t>Wenhui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Borjigin</w:t>
            </w:r>
            <w:proofErr w:type="spellEnd"/>
            <w:r>
              <w:rPr>
                <w:bCs/>
                <w:szCs w:val="21"/>
              </w:rPr>
              <w:t xml:space="preserve"> </w:t>
            </w:r>
            <w:proofErr w:type="spellStart"/>
            <w:r>
              <w:rPr>
                <w:bCs/>
                <w:szCs w:val="21"/>
              </w:rPr>
              <w:t>Tenger</w:t>
            </w:r>
            <w:proofErr w:type="spellEnd"/>
            <w:r>
              <w:rPr>
                <w:bCs/>
                <w:szCs w:val="21"/>
              </w:rPr>
              <w:t xml:space="preserve">, Wang </w:t>
            </w:r>
            <w:proofErr w:type="spellStart"/>
            <w:r>
              <w:rPr>
                <w:bCs/>
                <w:szCs w:val="21"/>
              </w:rPr>
              <w:t>Xiaofeng</w:t>
            </w:r>
            <w:proofErr w:type="spellEnd"/>
            <w:r>
              <w:rPr>
                <w:bCs/>
                <w:szCs w:val="21"/>
              </w:rPr>
              <w:t xml:space="preserve">, Li </w:t>
            </w:r>
            <w:proofErr w:type="spellStart"/>
            <w:r>
              <w:rPr>
                <w:bCs/>
                <w:szCs w:val="21"/>
              </w:rPr>
              <w:t>Maowen</w:t>
            </w:r>
            <w:proofErr w:type="spellEnd"/>
            <w:r>
              <w:rPr>
                <w:bCs/>
                <w:szCs w:val="21"/>
              </w:rPr>
              <w:t xml:space="preserve">, Hu </w:t>
            </w:r>
            <w:proofErr w:type="spellStart"/>
            <w:r>
              <w:rPr>
                <w:bCs/>
                <w:szCs w:val="21"/>
              </w:rPr>
              <w:t>Guang</w:t>
            </w:r>
            <w:proofErr w:type="spellEnd"/>
            <w:r>
              <w:rPr>
                <w:bCs/>
                <w:szCs w:val="21"/>
              </w:rPr>
              <w:t xml:space="preserve">, Wang </w:t>
            </w:r>
            <w:proofErr w:type="spellStart"/>
            <w:r>
              <w:rPr>
                <w:bCs/>
                <w:szCs w:val="21"/>
              </w:rPr>
              <w:t>Jie</w:t>
            </w:r>
            <w:proofErr w:type="spellEnd"/>
            <w:r>
              <w:rPr>
                <w:bCs/>
                <w:szCs w:val="21"/>
              </w:rPr>
              <w:t xml:space="preserve">, Lu </w:t>
            </w:r>
            <w:proofErr w:type="spellStart"/>
            <w:r>
              <w:rPr>
                <w:bCs/>
                <w:szCs w:val="21"/>
              </w:rPr>
              <w:t>Longfei</w:t>
            </w:r>
            <w:proofErr w:type="spellEnd"/>
            <w:r>
              <w:rPr>
                <w:bCs/>
                <w:szCs w:val="21"/>
              </w:rPr>
              <w:t xml:space="preserve">, Zhao </w:t>
            </w:r>
            <w:proofErr w:type="spellStart"/>
            <w:r>
              <w:rPr>
                <w:bCs/>
                <w:szCs w:val="21"/>
              </w:rPr>
              <w:t>Heng</w:t>
            </w:r>
            <w:proofErr w:type="spellEnd"/>
            <w:r>
              <w:rPr>
                <w:bCs/>
                <w:szCs w:val="21"/>
              </w:rPr>
              <w:t xml:space="preserve">, Chen </w:t>
            </w:r>
            <w:proofErr w:type="spellStart"/>
            <w:r>
              <w:rPr>
                <w:bCs/>
                <w:szCs w:val="21"/>
              </w:rPr>
              <w:t>Qianglu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Luo</w:t>
            </w:r>
            <w:proofErr w:type="spellEnd"/>
            <w:r>
              <w:rPr>
                <w:bCs/>
                <w:szCs w:val="21"/>
              </w:rPr>
              <w:t xml:space="preserve"> </w:t>
            </w:r>
            <w:proofErr w:type="spellStart"/>
            <w:r>
              <w:rPr>
                <w:bCs/>
                <w:szCs w:val="21"/>
              </w:rPr>
              <w:t>Houyong</w:t>
            </w:r>
            <w:proofErr w:type="spellEnd"/>
            <w:r>
              <w:rPr>
                <w:bCs/>
                <w:szCs w:val="21"/>
              </w:rPr>
              <w:t xml:space="preserve">. New knowledge of hydrocarbon generating theory of organic matter in </w:t>
            </w:r>
            <w:proofErr w:type="spellStart"/>
            <w:proofErr w:type="gramStart"/>
            <w:r>
              <w:rPr>
                <w:bCs/>
                <w:szCs w:val="21"/>
              </w:rPr>
              <w:t>chinese</w:t>
            </w:r>
            <w:proofErr w:type="spellEnd"/>
            <w:proofErr w:type="gramEnd"/>
            <w:r>
              <w:rPr>
                <w:bCs/>
                <w:szCs w:val="21"/>
              </w:rPr>
              <w:t xml:space="preserve"> marine carbonates. Petroleum Exploration and Development, (SCI), 2017, 44(1):159-169.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line="300" w:lineRule="exact"/>
              <w:ind w:left="327" w:hangingChars="155" w:hanging="327"/>
              <w:rPr>
                <w:bCs/>
                <w:szCs w:val="21"/>
              </w:rPr>
            </w:pPr>
            <w:r>
              <w:rPr>
                <w:b/>
                <w:szCs w:val="21"/>
              </w:rPr>
              <w:t xml:space="preserve">Liu </w:t>
            </w:r>
            <w:proofErr w:type="spellStart"/>
            <w:r>
              <w:rPr>
                <w:b/>
                <w:szCs w:val="21"/>
              </w:rPr>
              <w:t>Wenhui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Xu</w:t>
            </w:r>
            <w:proofErr w:type="spellEnd"/>
            <w:r>
              <w:rPr>
                <w:bCs/>
                <w:szCs w:val="21"/>
              </w:rPr>
              <w:t xml:space="preserve"> </w:t>
            </w:r>
            <w:proofErr w:type="spellStart"/>
            <w:r>
              <w:rPr>
                <w:bCs/>
                <w:szCs w:val="21"/>
              </w:rPr>
              <w:t>Yongchang</w:t>
            </w:r>
            <w:proofErr w:type="spellEnd"/>
            <w:r>
              <w:rPr>
                <w:bCs/>
                <w:szCs w:val="21"/>
              </w:rPr>
              <w:t xml:space="preserve">, Shi </w:t>
            </w:r>
            <w:proofErr w:type="spellStart"/>
            <w:r>
              <w:rPr>
                <w:bCs/>
                <w:szCs w:val="21"/>
              </w:rPr>
              <w:t>Jiyang</w:t>
            </w:r>
            <w:proofErr w:type="spellEnd"/>
            <w:r>
              <w:rPr>
                <w:bCs/>
                <w:szCs w:val="21"/>
              </w:rPr>
              <w:t xml:space="preserve">, Lei </w:t>
            </w:r>
            <w:proofErr w:type="spellStart"/>
            <w:r>
              <w:rPr>
                <w:bCs/>
                <w:szCs w:val="21"/>
              </w:rPr>
              <w:t>Huaiyan</w:t>
            </w:r>
            <w:proofErr w:type="spellEnd"/>
            <w:r>
              <w:rPr>
                <w:bCs/>
                <w:szCs w:val="21"/>
              </w:rPr>
              <w:t xml:space="preserve">, Zhang </w:t>
            </w:r>
            <w:proofErr w:type="spellStart"/>
            <w:r>
              <w:rPr>
                <w:bCs/>
                <w:szCs w:val="21"/>
              </w:rPr>
              <w:t>Baisheng</w:t>
            </w:r>
            <w:proofErr w:type="spellEnd"/>
            <w:r>
              <w:rPr>
                <w:bCs/>
                <w:szCs w:val="21"/>
              </w:rPr>
              <w:t>. Evolution model and formation mechanism of bio-</w:t>
            </w:r>
            <w:proofErr w:type="spellStart"/>
            <w:r>
              <w:rPr>
                <w:bCs/>
                <w:szCs w:val="21"/>
              </w:rPr>
              <w:t>thermocatalytic</w:t>
            </w:r>
            <w:proofErr w:type="spellEnd"/>
            <w:r>
              <w:rPr>
                <w:bCs/>
                <w:szCs w:val="21"/>
              </w:rPr>
              <w:t xml:space="preserve"> transitional zone gas. Science in China Series D: Earth Science, (SCI), 1997, 40(1):43-53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beforeLines="15" w:before="46" w:afterLines="15" w:after="46" w:line="320" w:lineRule="exact"/>
              <w:ind w:left="327" w:hangingChars="155" w:hanging="327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/>
                <w:b/>
                <w:szCs w:val="21"/>
              </w:rPr>
              <w:t>刘文汇</w:t>
            </w:r>
            <w:r>
              <w:rPr>
                <w:rFonts w:ascii="楷体" w:eastAsia="楷体" w:hAnsi="楷体" w:cs="楷体"/>
                <w:bCs/>
                <w:szCs w:val="21"/>
              </w:rPr>
              <w:t>，腾格尔，高波，张中宁，张建勇，张殿伟，含硫天然气的形成与分布</w:t>
            </w:r>
            <w:r>
              <w:rPr>
                <w:rFonts w:ascii="楷体" w:eastAsia="楷体" w:hAnsi="楷体" w:cs="楷体"/>
                <w:szCs w:val="21"/>
              </w:rPr>
              <w:t>——以四川盆地为例，科学出版社，北京</w:t>
            </w:r>
            <w:r>
              <w:rPr>
                <w:rFonts w:ascii="楷体" w:eastAsia="楷体" w:hAnsi="楷体" w:cs="楷体"/>
                <w:bCs/>
                <w:szCs w:val="21"/>
              </w:rPr>
              <w:t>，2015.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beforeLines="15" w:before="46" w:afterLines="15" w:after="46" w:line="320" w:lineRule="exact"/>
              <w:ind w:left="327" w:hangingChars="155" w:hanging="327"/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cs="楷体"/>
                <w:b/>
                <w:szCs w:val="21"/>
              </w:rPr>
              <w:t>刘文汇</w:t>
            </w:r>
            <w:r>
              <w:rPr>
                <w:rFonts w:ascii="楷体" w:eastAsia="楷体" w:hAnsi="楷体" w:cs="楷体"/>
                <w:bCs/>
                <w:szCs w:val="21"/>
              </w:rPr>
              <w:t>、郑建京、</w:t>
            </w:r>
            <w:proofErr w:type="gramStart"/>
            <w:r>
              <w:rPr>
                <w:rFonts w:ascii="楷体" w:eastAsia="楷体" w:hAnsi="楷体" w:cs="楷体"/>
                <w:bCs/>
                <w:szCs w:val="21"/>
              </w:rPr>
              <w:t>妥进才</w:t>
            </w:r>
            <w:proofErr w:type="gramEnd"/>
            <w:r>
              <w:rPr>
                <w:rFonts w:ascii="楷体" w:eastAsia="楷体" w:hAnsi="楷体" w:cs="楷体"/>
                <w:bCs/>
                <w:szCs w:val="21"/>
              </w:rPr>
              <w:t>、李景贵、史斗、张殿伟 等著，塔里木盆地深层天然气，科学出版社，北京，2006.</w:t>
            </w:r>
          </w:p>
          <w:p w:rsidR="00EF5E09" w:rsidRDefault="00EF5E09" w:rsidP="00EF5E09">
            <w:pPr>
              <w:pStyle w:val="a3"/>
              <w:numPr>
                <w:ilvl w:val="0"/>
                <w:numId w:val="1"/>
              </w:numPr>
              <w:spacing w:beforeLines="15" w:before="46" w:afterLines="15" w:after="46" w:line="320" w:lineRule="exact"/>
              <w:ind w:left="325" w:hangingChars="155" w:hanging="325"/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cs="楷体"/>
                <w:bCs/>
                <w:szCs w:val="21"/>
              </w:rPr>
              <w:t>刘文汇、陈孟晋、关平、郑建京、金强、胡国艺、王万春、夏燕青 等著，天然气成</w:t>
            </w:r>
            <w:r>
              <w:rPr>
                <w:rFonts w:ascii="楷体" w:eastAsia="楷体" w:hAnsi="楷体" w:cs="楷体"/>
                <w:bCs/>
                <w:szCs w:val="21"/>
              </w:rPr>
              <w:lastRenderedPageBreak/>
              <w:t>烃、成藏-三元地球化学示踪体系及实践，科学出版社，北京,2009.</w:t>
            </w:r>
          </w:p>
        </w:tc>
      </w:tr>
      <w:tr w:rsidR="00EF5E09" w:rsidTr="008E7AE7">
        <w:trPr>
          <w:gridAfter w:val="1"/>
          <w:wAfter w:w="14" w:type="dxa"/>
          <w:jc w:val="center"/>
        </w:trPr>
        <w:tc>
          <w:tcPr>
            <w:tcW w:w="698" w:type="dxa"/>
            <w:vAlign w:val="center"/>
          </w:tcPr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获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奖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</w:t>
            </w:r>
          </w:p>
          <w:p w:rsidR="00EF5E09" w:rsidRDefault="00EF5E09" w:rsidP="008E7A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b/>
                <w:szCs w:val="21"/>
              </w:rPr>
              <w:t>况</w:t>
            </w:r>
            <w:proofErr w:type="gramEnd"/>
          </w:p>
        </w:tc>
        <w:tc>
          <w:tcPr>
            <w:tcW w:w="8343" w:type="dxa"/>
            <w:gridSpan w:val="6"/>
          </w:tcPr>
          <w:p w:rsidR="00EF5E09" w:rsidRDefault="00EF5E09" w:rsidP="00EF5E09">
            <w:pPr>
              <w:numPr>
                <w:ilvl w:val="0"/>
                <w:numId w:val="2"/>
              </w:num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国家技术发明奖二等奖1项：</w:t>
            </w:r>
          </w:p>
          <w:p w:rsidR="00EF5E09" w:rsidRDefault="00EF5E09" w:rsidP="008E7AE7">
            <w:pPr>
              <w:spacing w:line="360" w:lineRule="exact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重建多期油气复杂成藏过程的关键仪器与方法（2016，R1）</w:t>
            </w:r>
          </w:p>
          <w:p w:rsidR="00EF5E09" w:rsidRDefault="00EF5E09" w:rsidP="00EF5E09">
            <w:pPr>
              <w:numPr>
                <w:ilvl w:val="0"/>
                <w:numId w:val="2"/>
              </w:num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国家科技进步奖二等奖1项：</w:t>
            </w:r>
          </w:p>
          <w:p w:rsidR="00EF5E09" w:rsidRDefault="00EF5E09" w:rsidP="008E7AE7">
            <w:pPr>
              <w:spacing w:line="360" w:lineRule="exact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我国陆上重点气区天然气高效勘探开发新理论、新技术与应用（2008，R2）</w:t>
            </w:r>
          </w:p>
          <w:p w:rsidR="00EF5E09" w:rsidRDefault="00EF5E09" w:rsidP="00EF5E09">
            <w:pPr>
              <w:numPr>
                <w:ilvl w:val="0"/>
                <w:numId w:val="2"/>
              </w:num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中国科学院自然科学奖一等奖1项：</w:t>
            </w:r>
          </w:p>
          <w:p w:rsidR="00EF5E09" w:rsidRDefault="00EF5E09" w:rsidP="008E7AE7">
            <w:pPr>
              <w:spacing w:line="360" w:lineRule="exact"/>
              <w:ind w:firstLine="42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天然气成因理论及应用（1995，R4）</w:t>
            </w:r>
          </w:p>
          <w:p w:rsidR="00EF5E09" w:rsidRDefault="00EF5E09" w:rsidP="00EF5E09">
            <w:pPr>
              <w:numPr>
                <w:ilvl w:val="0"/>
                <w:numId w:val="2"/>
              </w:num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中国科学院科技进步一等奖1项：</w:t>
            </w:r>
          </w:p>
          <w:p w:rsidR="00EF5E09" w:rsidRDefault="00EF5E09" w:rsidP="008E7AE7">
            <w:pPr>
              <w:spacing w:line="360" w:lineRule="exact"/>
              <w:ind w:firstLine="42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天然气成因理论及大中型气田形成的地学基础（1996，R3）</w:t>
            </w:r>
          </w:p>
          <w:p w:rsidR="00EF5E09" w:rsidRDefault="00EF5E09" w:rsidP="00EF5E09">
            <w:pPr>
              <w:numPr>
                <w:ilvl w:val="0"/>
                <w:numId w:val="2"/>
              </w:num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中石化技术发明奖一等奖1项：</w:t>
            </w:r>
          </w:p>
          <w:p w:rsidR="00EF5E09" w:rsidRDefault="00EF5E09" w:rsidP="008E7AE7">
            <w:pPr>
              <w:spacing w:line="360" w:lineRule="exact"/>
              <w:ind w:firstLine="42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油气包裹体分析新技术及应用（2012，R7）</w:t>
            </w:r>
          </w:p>
          <w:p w:rsidR="00EF5E09" w:rsidRDefault="00EF5E09" w:rsidP="00EF5E09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cs="楷体"/>
                <w:sz w:val="24"/>
              </w:rPr>
              <w:t>省（部）二等奖1项（R2）</w:t>
            </w:r>
          </w:p>
          <w:p w:rsidR="00EF5E09" w:rsidRPr="00646178" w:rsidRDefault="00EF5E09" w:rsidP="00EF5E09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cs="楷体"/>
                <w:sz w:val="24"/>
              </w:rPr>
              <w:t>国家发明专利3项（2R1，R3）。</w:t>
            </w:r>
          </w:p>
        </w:tc>
      </w:tr>
    </w:tbl>
    <w:p w:rsidR="00EF5E09" w:rsidRDefault="00EF5E09" w:rsidP="00EF5E09">
      <w:pPr>
        <w:rPr>
          <w:rFonts w:ascii="宋体" w:hAnsi="宋体"/>
        </w:rPr>
      </w:pPr>
      <w:r>
        <w:rPr>
          <w:rFonts w:ascii="宋体" w:hAnsi="宋体" w:hint="eastAsia"/>
        </w:rPr>
        <w:t>邮箱：lsg@cags.ac.cn</w:t>
      </w:r>
    </w:p>
    <w:p w:rsidR="0035340B" w:rsidRPr="00EF5E09" w:rsidRDefault="0035340B"/>
    <w:sectPr w:rsidR="0035340B" w:rsidRPr="00EF5E09">
      <w:pgSz w:w="11906" w:h="16838"/>
      <w:pgMar w:top="1714" w:right="1646" w:bottom="1558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C69BDB"/>
    <w:multiLevelType w:val="singleLevel"/>
    <w:tmpl w:val="D1C69BDB"/>
    <w:lvl w:ilvl="0">
      <w:start w:val="1"/>
      <w:numFmt w:val="decimal"/>
      <w:suff w:val="nothing"/>
      <w:lvlText w:val="%1、"/>
      <w:lvlJc w:val="left"/>
    </w:lvl>
  </w:abstractNum>
  <w:abstractNum w:abstractNumId="1">
    <w:nsid w:val="650E2E4C"/>
    <w:multiLevelType w:val="singleLevel"/>
    <w:tmpl w:val="650E2E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41"/>
    <w:rsid w:val="00172C41"/>
    <w:rsid w:val="0035340B"/>
    <w:rsid w:val="007D6F9B"/>
    <w:rsid w:val="00E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E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E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>Sky123.Org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3</cp:revision>
  <dcterms:created xsi:type="dcterms:W3CDTF">2019-04-10T02:38:00Z</dcterms:created>
  <dcterms:modified xsi:type="dcterms:W3CDTF">2019-04-10T03:37:00Z</dcterms:modified>
</cp:coreProperties>
</file>