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窗体顶端</w:t>
      </w:r>
    </w:p>
    <w:tbl>
      <w:tblPr>
        <w:tblW w:w="8306" w:type="dxa"/>
        <w:tblCellSpacing w:w="0" w:type="dxa"/>
        <w:tblInd w:w="-15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hidden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360" w:lineRule="atLeast"/>
              <w:ind w:left="720"/>
              <w:jc w:val="both"/>
              <w:rPr>
                <w:rFonts w:hint="eastAsia" w:ascii="宋体" w:hAnsi="宋体" w:eastAsia="宋体" w:cs="宋体"/>
                <w:i w:val="0"/>
                <w:vanish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vanish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vanish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instrText xml:space="preserve"> HYPERLINK "http://www.nsfc.gov.cn/publish/portal0" </w:instrText>
            </w:r>
            <w:r>
              <w:rPr>
                <w:rFonts w:hint="eastAsia" w:ascii="宋体" w:hAnsi="宋体" w:eastAsia="宋体" w:cs="宋体"/>
                <w:i w:val="0"/>
                <w:vanish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i w:val="0"/>
                <w:vanish/>
                <w:sz w:val="18"/>
                <w:szCs w:val="18"/>
                <w:bdr w:val="none" w:color="auto" w:sz="0" w:space="0"/>
                <w:shd w:val="clear" w:fill="FFFFFF"/>
              </w:rPr>
              <w:t>首页</w:t>
            </w:r>
            <w:r>
              <w:rPr>
                <w:rFonts w:hint="eastAsia" w:ascii="宋体" w:hAnsi="宋体" w:eastAsia="宋体" w:cs="宋体"/>
                <w:i w:val="0"/>
                <w:vanish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vanish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vanish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drawing>
                <wp:inline distT="0" distB="0" distL="114300" distR="114300">
                  <wp:extent cx="85725" cy="95250"/>
                  <wp:effectExtent l="0" t="0" r="9525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vanish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vanish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vanish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instrText xml:space="preserve"> HYPERLINK "http://www.nsfc.gov.cn/publish/portal0/tab568" </w:instrText>
            </w:r>
            <w:r>
              <w:rPr>
                <w:rFonts w:hint="eastAsia" w:ascii="宋体" w:hAnsi="宋体" w:eastAsia="宋体" w:cs="宋体"/>
                <w:i w:val="0"/>
                <w:vanish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i w:val="0"/>
                <w:vanish/>
                <w:sz w:val="18"/>
                <w:szCs w:val="18"/>
                <w:bdr w:val="none" w:color="auto" w:sz="0" w:space="0"/>
                <w:shd w:val="clear" w:fill="FFFFFF"/>
              </w:rPr>
              <w:t>项目指南</w:t>
            </w:r>
            <w:r>
              <w:rPr>
                <w:rFonts w:hint="eastAsia" w:ascii="宋体" w:hAnsi="宋体" w:eastAsia="宋体" w:cs="宋体"/>
                <w:i w:val="0"/>
                <w:vanish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vanish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vanish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drawing>
                <wp:inline distT="0" distB="0" distL="114300" distR="114300">
                  <wp:extent cx="85725" cy="95250"/>
                  <wp:effectExtent l="0" t="0" r="9525" b="0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vanish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vanish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vanish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instrText xml:space="preserve"> HYPERLINK "http://www.nsfc.gov.cn/publish/portal0/tab568" </w:instrText>
            </w:r>
            <w:r>
              <w:rPr>
                <w:rFonts w:hint="eastAsia" w:ascii="宋体" w:hAnsi="宋体" w:eastAsia="宋体" w:cs="宋体"/>
                <w:i w:val="0"/>
                <w:vanish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i w:val="0"/>
                <w:vanish/>
                <w:sz w:val="18"/>
                <w:szCs w:val="18"/>
                <w:bdr w:val="none" w:color="auto" w:sz="0" w:space="0"/>
                <w:shd w:val="clear" w:fill="FFFFFF"/>
              </w:rPr>
              <w:t>2018年项目指南</w:t>
            </w:r>
            <w:r>
              <w:rPr>
                <w:rFonts w:hint="eastAsia" w:ascii="宋体" w:hAnsi="宋体" w:eastAsia="宋体" w:cs="宋体"/>
                <w:i w:val="0"/>
                <w:vanish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vanish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720" w:right="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30"/>
                <w:szCs w:val="30"/>
                <w:shd w:val="clear" w:fill="FFFFFF"/>
              </w:rPr>
              <w:t>“肿瘤标志物的精准测量及其分子机制”重大项目指南</w:t>
            </w:r>
          </w:p>
        </w:tc>
      </w:tr>
    </w:tbl>
    <w:p>
      <w:pPr>
        <w:pStyle w:val="11"/>
      </w:pPr>
      <w:r>
        <w:t>窗体底端</w:t>
      </w:r>
    </w:p>
    <w:p>
      <w:pPr>
        <w:pStyle w:val="3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肿瘤标志物包括蛋白质、核酸、代谢小分子等功能生物分子，可以客观地、特异性地反映肿瘤的发生和发展进程，其精准和高灵敏的定量检测对于临床诊断、治疗过程和预后评价具有重要意义。本项目拟针对与肺癌和白血病等肿瘤相关的重要生物分子，建立精准、快速和高灵敏的检测方法与原位表征技术，揭示其在肿瘤发生发展进程中的分子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作用机制，为肿瘤标志物发现及精准诊疗提供科学和技术支撑。</w:t>
      </w:r>
    </w:p>
    <w:p>
      <w:pPr>
        <w:pStyle w:val="3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一、科学目标</w:t>
      </w:r>
    </w:p>
    <w:p>
      <w:pPr>
        <w:pStyle w:val="3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针对肿瘤诊断过程中，样品复杂、单一标志物可信度差、特异性标志物匮乏、丰度低等问题，围绕肺癌和白血病等肿瘤标志物，发展高效特异的分子识别工具，设计新型识别策略，建立灵敏、特异、快速的检测方法，发展超高时空分辨原位成像与表征技术，构建肿瘤标志物的多模态多层次测量体系及分子图谱，揭示标志物在肿瘤发生发展进程中的分子机制，发现新的肿瘤标志物，实现肺癌和白血病的精准诊断，促进生物医学研究领域的发展。</w:t>
      </w:r>
    </w:p>
    <w:p>
      <w:pPr>
        <w:pStyle w:val="3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二、研究内容</w:t>
      </w:r>
    </w:p>
    <w:p>
      <w:pPr>
        <w:pStyle w:val="3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（一）肿瘤标志物的分子识别工具与识别策略。</w:t>
      </w:r>
    </w:p>
    <w:p>
      <w:pPr>
        <w:pStyle w:val="3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针对肺癌和白血病等肿瘤标志物（NSE、P53、FLT3、CD分子等），分层次逐步开展核酸适体筛选，获取多种肿瘤标志物特异性核酸适体分子；发展高效特异性识别分子与识别策略，并研究识别机制，指导更有效识别肿瘤标志物的分子工具的设计。</w:t>
      </w:r>
    </w:p>
    <w:p>
      <w:pPr>
        <w:pStyle w:val="3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（二）肿瘤标志物的灵敏、特异、快速的检测方法。</w:t>
      </w:r>
    </w:p>
    <w:p>
      <w:pPr>
        <w:pStyle w:val="3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基于所发展的分子识别工具，建立灵敏、特异、快速的肿瘤标志物检测新原理和新方法，解决低丰度肿瘤标志物检测的关键问题；设计多元肿瘤标志物检测体系，探索重要生物分子在肿瘤发生发展进程中的分子作用机制，解决当前单一标志物可信度低的问题。</w:t>
      </w:r>
    </w:p>
    <w:p>
      <w:pPr>
        <w:pStyle w:val="3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（三）肿瘤标志物的多模态、多层次测量与成像。</w:t>
      </w:r>
    </w:p>
    <w:p>
      <w:pPr>
        <w:pStyle w:val="3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设计肿瘤标志物精准测定的标记分子，提出新的标记与信号提取方法，结合分子识别工具与原位成像技术，建立超高时空分辨的肿瘤标志物多模态、多层次检测新方法，发展其定位、组成及变化的示踪方法和技术，提出在细胞、组织与活体水平上甄别肿瘤标志物的新方法。</w:t>
      </w:r>
    </w:p>
    <w:p>
      <w:pPr>
        <w:pStyle w:val="3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（四）肿瘤标志物分子图谱的构建与应用。</w:t>
      </w:r>
    </w:p>
    <w:p>
      <w:pPr>
        <w:pStyle w:val="3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在单细胞、单分子水平可视化原位探测肺癌和白血病标志物的丰度及分布，建立肿瘤标志物谱，实现更精准的分子分型；研究肿瘤胞外囊泡的富集、纯化、表征技术，绘制相关分子图谱，发现新的肿瘤标志物，研究其与肿瘤发生发展的关系，指导个性化诊疗。</w:t>
      </w:r>
    </w:p>
    <w:p>
      <w:pPr>
        <w:pStyle w:val="3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三、申请注意事项</w:t>
      </w:r>
    </w:p>
    <w:p>
      <w:pPr>
        <w:pStyle w:val="3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（一）申请书的附注说明选择“肿瘤标志物的精准测量及其分子机制”。</w:t>
      </w:r>
    </w:p>
    <w:p>
      <w:pPr>
        <w:pStyle w:val="3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（二）申请人申请的直接费用预算不得超过2000万元/项（含2000万元/项）。</w:t>
      </w:r>
    </w:p>
    <w:p>
      <w:pPr>
        <w:pStyle w:val="3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（三）本项目由化学科学部负责受理。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F071B"/>
    <w:rsid w:val="6D535020"/>
    <w:rsid w:val="7C5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50" w:beforeAutospacing="0" w:after="150" w:afterAutospacing="0" w:line="360" w:lineRule="auto"/>
      <w:ind w:left="0" w:right="0"/>
      <w:jc w:val="left"/>
    </w:pPr>
    <w:rPr>
      <w:rFonts w:hint="eastAsia" w:ascii="宋体" w:hAnsi="宋体" w:eastAsia="宋体" w:cs="宋体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7">
    <w:name w:val="Hyperlink"/>
    <w:basedOn w:val="4"/>
    <w:uiPriority w:val="0"/>
    <w:rPr>
      <w:rFonts w:ascii="微软雅黑" w:hAnsi="微软雅黑" w:eastAsia="微软雅黑" w:cs="微软雅黑"/>
      <w:color w:val="333333"/>
      <w:u w:val="none"/>
    </w:rPr>
  </w:style>
  <w:style w:type="character" w:customStyle="1" w:styleId="9">
    <w:name w:val="on1"/>
    <w:basedOn w:val="4"/>
    <w:uiPriority w:val="0"/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2018-07-12T09:03:00Z</dcterms:created>
  <dc:creator>小猪佩琪</dc:creator>
  <cp:lastModifiedBy>小猪佩琪</cp:lastModifiedBy>
  <dcterms:modified xsi:type="dcterms:W3CDTF">2018-07-12T09:04:14Z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