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pPr>
      <w:r>
        <w:t>窗体顶端</w:t>
      </w:r>
    </w:p>
    <w:tbl>
      <w:tblPr>
        <w:tblW w:w="6586" w:type="dxa"/>
        <w:tblCellSpacing w:w="0" w:type="dxa"/>
        <w:tblInd w:w="823" w:type="dxa"/>
        <w:shd w:val="clear"/>
        <w:tblLayout w:type="fixed"/>
        <w:tblCellMar>
          <w:top w:w="0" w:type="dxa"/>
          <w:left w:w="0" w:type="dxa"/>
          <w:bottom w:w="0" w:type="dxa"/>
          <w:right w:w="0" w:type="dxa"/>
        </w:tblCellMar>
      </w:tblPr>
      <w:tblGrid>
        <w:gridCol w:w="6586"/>
      </w:tblGrid>
      <w:tr>
        <w:tblPrEx>
          <w:shd w:val="clear"/>
          <w:tblLayout w:type="fixed"/>
          <w:tblCellMar>
            <w:top w:w="0" w:type="dxa"/>
            <w:left w:w="0" w:type="dxa"/>
            <w:bottom w:w="0" w:type="dxa"/>
            <w:right w:w="0" w:type="dxa"/>
          </w:tblCellMar>
        </w:tblPrEx>
        <w:trPr>
          <w:tblCellSpacing w:w="0" w:type="dxa"/>
          <w:hidden/>
        </w:trPr>
        <w:tc>
          <w:tcPr>
            <w:tcW w:w="6586"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tLeast"/>
              <w:ind w:left="720"/>
              <w:jc w:val="both"/>
              <w:rPr>
                <w:rFonts w:hint="eastAsia" w:ascii="宋体" w:hAnsi="宋体" w:eastAsia="宋体" w:cs="宋体"/>
                <w:i w:val="0"/>
                <w:vanish/>
                <w:sz w:val="18"/>
                <w:szCs w:val="18"/>
              </w:rPr>
            </w:pPr>
            <w:r>
              <w:rPr>
                <w:rFonts w:hint="eastAsia" w:ascii="宋体" w:hAnsi="宋体" w:eastAsia="宋体" w:cs="宋体"/>
                <w:i w:val="0"/>
                <w:vanish/>
                <w:kern w:val="0"/>
                <w:sz w:val="18"/>
                <w:szCs w:val="18"/>
                <w:bdr w:val="none" w:color="auto" w:sz="0" w:space="0"/>
                <w:shd w:val="clear" w:fill="FFFFFF"/>
                <w:lang w:val="en-US" w:eastAsia="zh-CN" w:bidi="ar"/>
              </w:rPr>
              <w:fldChar w:fldCharType="begin"/>
            </w:r>
            <w:r>
              <w:rPr>
                <w:rFonts w:hint="eastAsia" w:ascii="宋体" w:hAnsi="宋体" w:eastAsia="宋体" w:cs="宋体"/>
                <w:i w:val="0"/>
                <w:vanish/>
                <w:kern w:val="0"/>
                <w:sz w:val="18"/>
                <w:szCs w:val="18"/>
                <w:bdr w:val="none" w:color="auto" w:sz="0" w:space="0"/>
                <w:shd w:val="clear" w:fill="FFFFFF"/>
                <w:lang w:val="en-US" w:eastAsia="zh-CN" w:bidi="ar"/>
              </w:rPr>
              <w:instrText xml:space="preserve"> HYPERLINK "http://www.nsfc.gov.cn/publish/portal0" </w:instrText>
            </w:r>
            <w:r>
              <w:rPr>
                <w:rFonts w:hint="eastAsia" w:ascii="宋体" w:hAnsi="宋体" w:eastAsia="宋体" w:cs="宋体"/>
                <w:i w:val="0"/>
                <w:vanish/>
                <w:kern w:val="0"/>
                <w:sz w:val="18"/>
                <w:szCs w:val="18"/>
                <w:bdr w:val="none" w:color="auto" w:sz="0" w:space="0"/>
                <w:shd w:val="clear" w:fill="FFFFFF"/>
                <w:lang w:val="en-US" w:eastAsia="zh-CN" w:bidi="ar"/>
              </w:rPr>
              <w:fldChar w:fldCharType="separate"/>
            </w:r>
            <w:r>
              <w:rPr>
                <w:rStyle w:val="7"/>
                <w:rFonts w:ascii="宋体" w:hAnsi="宋体" w:eastAsia="宋体" w:cs="宋体"/>
                <w:i w:val="0"/>
                <w:vanish/>
                <w:sz w:val="18"/>
                <w:szCs w:val="18"/>
                <w:bdr w:val="none" w:color="auto" w:sz="0" w:space="0"/>
                <w:shd w:val="clear" w:fill="FFFFFF"/>
              </w:rPr>
              <w:t>首页</w:t>
            </w:r>
            <w:r>
              <w:rPr>
                <w:rFonts w:hint="eastAsia" w:ascii="宋体" w:hAnsi="宋体" w:eastAsia="宋体" w:cs="宋体"/>
                <w:i w:val="0"/>
                <w:vanish/>
                <w:kern w:val="0"/>
                <w:sz w:val="18"/>
                <w:szCs w:val="18"/>
                <w:bdr w:val="none" w:color="auto" w:sz="0" w:space="0"/>
                <w:shd w:val="clear" w:fill="FFFFFF"/>
                <w:lang w:val="en-US" w:eastAsia="zh-CN" w:bidi="ar"/>
              </w:rPr>
              <w:fldChar w:fldCharType="end"/>
            </w:r>
            <w:r>
              <w:rPr>
                <w:rFonts w:hint="eastAsia" w:ascii="宋体" w:hAnsi="宋体" w:eastAsia="宋体" w:cs="宋体"/>
                <w:i w:val="0"/>
                <w:vanish/>
                <w:kern w:val="0"/>
                <w:sz w:val="18"/>
                <w:szCs w:val="18"/>
                <w:bdr w:val="none" w:color="auto" w:sz="0" w:space="0"/>
                <w:shd w:val="clear" w:fill="FFFFFF"/>
                <w:lang w:val="en-US" w:eastAsia="zh-CN" w:bidi="ar"/>
              </w:rPr>
              <w:t> </w:t>
            </w:r>
            <w:r>
              <w:rPr>
                <w:rFonts w:hint="eastAsia" w:ascii="宋体" w:hAnsi="宋体" w:eastAsia="宋体" w:cs="宋体"/>
                <w:i w:val="0"/>
                <w:vanish/>
                <w:kern w:val="0"/>
                <w:sz w:val="18"/>
                <w:szCs w:val="18"/>
                <w:bdr w:val="none" w:color="auto" w:sz="0" w:space="0"/>
                <w:shd w:val="clear" w:fill="FFFFFF"/>
                <w:lang w:val="en-US" w:eastAsia="zh-CN" w:bidi="ar"/>
              </w:rPr>
              <w:drawing>
                <wp:inline distT="0" distB="0" distL="114300" distR="114300">
                  <wp:extent cx="85725" cy="9525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85725" cy="95250"/>
                          </a:xfrm>
                          <a:prstGeom prst="rect">
                            <a:avLst/>
                          </a:prstGeom>
                          <a:noFill/>
                          <a:ln w="9525">
                            <a:noFill/>
                          </a:ln>
                        </pic:spPr>
                      </pic:pic>
                    </a:graphicData>
                  </a:graphic>
                </wp:inline>
              </w:drawing>
            </w:r>
            <w:r>
              <w:rPr>
                <w:rFonts w:hint="eastAsia" w:ascii="宋体" w:hAnsi="宋体" w:eastAsia="宋体" w:cs="宋体"/>
                <w:i w:val="0"/>
                <w:vanish/>
                <w:kern w:val="0"/>
                <w:sz w:val="18"/>
                <w:szCs w:val="18"/>
                <w:bdr w:val="none" w:color="auto" w:sz="0" w:space="0"/>
                <w:shd w:val="clear" w:fill="FFFFFF"/>
                <w:lang w:val="en-US" w:eastAsia="zh-CN" w:bidi="ar"/>
              </w:rPr>
              <w:t> </w:t>
            </w:r>
            <w:r>
              <w:rPr>
                <w:rFonts w:hint="eastAsia" w:ascii="宋体" w:hAnsi="宋体" w:eastAsia="宋体" w:cs="宋体"/>
                <w:i w:val="0"/>
                <w:vanish/>
                <w:kern w:val="0"/>
                <w:sz w:val="18"/>
                <w:szCs w:val="18"/>
                <w:bdr w:val="none" w:color="auto" w:sz="0" w:space="0"/>
                <w:shd w:val="clear" w:fill="FFFFFF"/>
                <w:lang w:val="en-US" w:eastAsia="zh-CN" w:bidi="ar"/>
              </w:rPr>
              <w:fldChar w:fldCharType="begin"/>
            </w:r>
            <w:r>
              <w:rPr>
                <w:rFonts w:hint="eastAsia" w:ascii="宋体" w:hAnsi="宋体" w:eastAsia="宋体" w:cs="宋体"/>
                <w:i w:val="0"/>
                <w:vanish/>
                <w:kern w:val="0"/>
                <w:sz w:val="18"/>
                <w:szCs w:val="18"/>
                <w:bdr w:val="none" w:color="auto" w:sz="0" w:space="0"/>
                <w:shd w:val="clear" w:fill="FFFFFF"/>
                <w:lang w:val="en-US" w:eastAsia="zh-CN" w:bidi="ar"/>
              </w:rPr>
              <w:instrText xml:space="preserve"> HYPERLINK "http://www.nsfc.gov.cn/publish/portal0/tab568" </w:instrText>
            </w:r>
            <w:r>
              <w:rPr>
                <w:rFonts w:hint="eastAsia" w:ascii="宋体" w:hAnsi="宋体" w:eastAsia="宋体" w:cs="宋体"/>
                <w:i w:val="0"/>
                <w:vanish/>
                <w:kern w:val="0"/>
                <w:sz w:val="18"/>
                <w:szCs w:val="18"/>
                <w:bdr w:val="none" w:color="auto" w:sz="0" w:space="0"/>
                <w:shd w:val="clear" w:fill="FFFFFF"/>
                <w:lang w:val="en-US" w:eastAsia="zh-CN" w:bidi="ar"/>
              </w:rPr>
              <w:fldChar w:fldCharType="separate"/>
            </w:r>
            <w:r>
              <w:rPr>
                <w:rStyle w:val="7"/>
                <w:rFonts w:ascii="宋体" w:hAnsi="宋体" w:eastAsia="宋体" w:cs="宋体"/>
                <w:i w:val="0"/>
                <w:vanish/>
                <w:sz w:val="18"/>
                <w:szCs w:val="18"/>
                <w:bdr w:val="none" w:color="auto" w:sz="0" w:space="0"/>
                <w:shd w:val="clear" w:fill="FFFFFF"/>
              </w:rPr>
              <w:t>项目指南</w:t>
            </w:r>
            <w:r>
              <w:rPr>
                <w:rFonts w:hint="eastAsia" w:ascii="宋体" w:hAnsi="宋体" w:eastAsia="宋体" w:cs="宋体"/>
                <w:i w:val="0"/>
                <w:vanish/>
                <w:kern w:val="0"/>
                <w:sz w:val="18"/>
                <w:szCs w:val="18"/>
                <w:bdr w:val="none" w:color="auto" w:sz="0" w:space="0"/>
                <w:shd w:val="clear" w:fill="FFFFFF"/>
                <w:lang w:val="en-US" w:eastAsia="zh-CN" w:bidi="ar"/>
              </w:rPr>
              <w:fldChar w:fldCharType="end"/>
            </w:r>
            <w:r>
              <w:rPr>
                <w:rFonts w:hint="eastAsia" w:ascii="宋体" w:hAnsi="宋体" w:eastAsia="宋体" w:cs="宋体"/>
                <w:i w:val="0"/>
                <w:vanish/>
                <w:kern w:val="0"/>
                <w:sz w:val="18"/>
                <w:szCs w:val="18"/>
                <w:bdr w:val="none" w:color="auto" w:sz="0" w:space="0"/>
                <w:shd w:val="clear" w:fill="FFFFFF"/>
                <w:lang w:val="en-US" w:eastAsia="zh-CN" w:bidi="ar"/>
              </w:rPr>
              <w:t> </w:t>
            </w:r>
            <w:r>
              <w:rPr>
                <w:rFonts w:hint="eastAsia" w:ascii="宋体" w:hAnsi="宋体" w:eastAsia="宋体" w:cs="宋体"/>
                <w:i w:val="0"/>
                <w:vanish/>
                <w:kern w:val="0"/>
                <w:sz w:val="18"/>
                <w:szCs w:val="18"/>
                <w:bdr w:val="none" w:color="auto" w:sz="0" w:space="0"/>
                <w:shd w:val="clear" w:fill="FFFFFF"/>
                <w:lang w:val="en-US" w:eastAsia="zh-CN" w:bidi="ar"/>
              </w:rPr>
              <w:drawing>
                <wp:inline distT="0" distB="0" distL="114300" distR="114300">
                  <wp:extent cx="85725" cy="95250"/>
                  <wp:effectExtent l="0" t="0" r="9525"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85725" cy="95250"/>
                          </a:xfrm>
                          <a:prstGeom prst="rect">
                            <a:avLst/>
                          </a:prstGeom>
                          <a:noFill/>
                          <a:ln w="9525">
                            <a:noFill/>
                          </a:ln>
                        </pic:spPr>
                      </pic:pic>
                    </a:graphicData>
                  </a:graphic>
                </wp:inline>
              </w:drawing>
            </w:r>
            <w:r>
              <w:rPr>
                <w:rFonts w:hint="eastAsia" w:ascii="宋体" w:hAnsi="宋体" w:eastAsia="宋体" w:cs="宋体"/>
                <w:i w:val="0"/>
                <w:vanish/>
                <w:kern w:val="0"/>
                <w:sz w:val="18"/>
                <w:szCs w:val="18"/>
                <w:bdr w:val="none" w:color="auto" w:sz="0" w:space="0"/>
                <w:shd w:val="clear" w:fill="FFFFFF"/>
                <w:lang w:val="en-US" w:eastAsia="zh-CN" w:bidi="ar"/>
              </w:rPr>
              <w:t> </w:t>
            </w:r>
            <w:r>
              <w:rPr>
                <w:rFonts w:hint="eastAsia" w:ascii="宋体" w:hAnsi="宋体" w:eastAsia="宋体" w:cs="宋体"/>
                <w:i w:val="0"/>
                <w:vanish/>
                <w:kern w:val="0"/>
                <w:sz w:val="18"/>
                <w:szCs w:val="18"/>
                <w:bdr w:val="none" w:color="auto" w:sz="0" w:space="0"/>
                <w:shd w:val="clear" w:fill="FFFFFF"/>
                <w:lang w:val="en-US" w:eastAsia="zh-CN" w:bidi="ar"/>
              </w:rPr>
              <w:fldChar w:fldCharType="begin"/>
            </w:r>
            <w:r>
              <w:rPr>
                <w:rFonts w:hint="eastAsia" w:ascii="宋体" w:hAnsi="宋体" w:eastAsia="宋体" w:cs="宋体"/>
                <w:i w:val="0"/>
                <w:vanish/>
                <w:kern w:val="0"/>
                <w:sz w:val="18"/>
                <w:szCs w:val="18"/>
                <w:bdr w:val="none" w:color="auto" w:sz="0" w:space="0"/>
                <w:shd w:val="clear" w:fill="FFFFFF"/>
                <w:lang w:val="en-US" w:eastAsia="zh-CN" w:bidi="ar"/>
              </w:rPr>
              <w:instrText xml:space="preserve"> HYPERLINK "http://www.nsfc.gov.cn/publish/portal0/tab568" </w:instrText>
            </w:r>
            <w:r>
              <w:rPr>
                <w:rFonts w:hint="eastAsia" w:ascii="宋体" w:hAnsi="宋体" w:eastAsia="宋体" w:cs="宋体"/>
                <w:i w:val="0"/>
                <w:vanish/>
                <w:kern w:val="0"/>
                <w:sz w:val="18"/>
                <w:szCs w:val="18"/>
                <w:bdr w:val="none" w:color="auto" w:sz="0" w:space="0"/>
                <w:shd w:val="clear" w:fill="FFFFFF"/>
                <w:lang w:val="en-US" w:eastAsia="zh-CN" w:bidi="ar"/>
              </w:rPr>
              <w:fldChar w:fldCharType="separate"/>
            </w:r>
            <w:r>
              <w:rPr>
                <w:rStyle w:val="7"/>
                <w:rFonts w:ascii="宋体" w:hAnsi="宋体" w:eastAsia="宋体" w:cs="宋体"/>
                <w:i w:val="0"/>
                <w:vanish/>
                <w:sz w:val="18"/>
                <w:szCs w:val="18"/>
                <w:bdr w:val="none" w:color="auto" w:sz="0" w:space="0"/>
                <w:shd w:val="clear" w:fill="FFFFFF"/>
              </w:rPr>
              <w:t>2018年项目指南</w:t>
            </w:r>
            <w:r>
              <w:rPr>
                <w:rFonts w:hint="eastAsia" w:ascii="宋体" w:hAnsi="宋体" w:eastAsia="宋体" w:cs="宋体"/>
                <w:i w:val="0"/>
                <w:vanish/>
                <w:kern w:val="0"/>
                <w:sz w:val="18"/>
                <w:szCs w:val="18"/>
                <w:bdr w:val="none" w:color="auto" w:sz="0" w:space="0"/>
                <w:shd w:val="clear" w:fill="FFFFFF"/>
                <w:lang w:val="en-US" w:eastAsia="zh-CN" w:bidi="ar"/>
              </w:rPr>
              <w:fldChar w:fldCharType="end"/>
            </w:r>
            <w:r>
              <w:rPr>
                <w:rFonts w:hint="eastAsia" w:ascii="宋体" w:hAnsi="宋体" w:eastAsia="宋体" w:cs="宋体"/>
                <w:i w:val="0"/>
                <w:vanish/>
                <w:kern w:val="0"/>
                <w:sz w:val="18"/>
                <w:szCs w:val="18"/>
                <w:bdr w:val="none" w:color="auto" w:sz="0" w:space="0"/>
                <w:shd w:val="clear" w:fill="FFFFFF"/>
                <w:lang w:val="en-US" w:eastAsia="zh-CN" w:bidi="ar"/>
              </w:rPr>
              <w:t xml:space="preserve"> </w:t>
            </w:r>
          </w:p>
          <w:p>
            <w:pPr>
              <w:pStyle w:val="2"/>
              <w:keepNext w:val="0"/>
              <w:keepLines w:val="0"/>
              <w:widowControl/>
              <w:suppressLineNumbers w:val="0"/>
              <w:spacing w:before="0" w:beforeAutospacing="0" w:after="0" w:afterAutospacing="0" w:line="480" w:lineRule="auto"/>
              <w:ind w:left="720" w:right="0"/>
              <w:jc w:val="center"/>
              <w:rPr>
                <w:rFonts w:hint="eastAsia" w:ascii="微软雅黑" w:hAnsi="微软雅黑" w:eastAsia="微软雅黑" w:cs="微软雅黑"/>
                <w:b/>
                <w:color w:val="000000"/>
                <w:sz w:val="30"/>
                <w:szCs w:val="30"/>
              </w:rPr>
            </w:pPr>
            <w:r>
              <w:rPr>
                <w:rFonts w:hint="eastAsia" w:ascii="微软雅黑" w:hAnsi="微软雅黑" w:eastAsia="微软雅黑" w:cs="微软雅黑"/>
                <w:b/>
                <w:i w:val="0"/>
                <w:color w:val="000000"/>
                <w:sz w:val="30"/>
                <w:szCs w:val="30"/>
                <w:shd w:val="clear" w:fill="FFFFFF"/>
              </w:rPr>
              <w:t>“深海土与结构的界面弱化理论及工程安全”重大项目指南</w:t>
            </w:r>
          </w:p>
        </w:tc>
      </w:tr>
    </w:tbl>
    <w:p>
      <w:pPr>
        <w:pStyle w:val="11"/>
      </w:pPr>
      <w:r>
        <w:t>窗体底端</w:t>
      </w:r>
    </w:p>
    <w:p>
      <w:pPr>
        <w:pStyle w:val="3"/>
        <w:keepNext w:val="0"/>
        <w:keepLines w:val="0"/>
        <w:widowControl/>
        <w:suppressLineNumbers w:val="0"/>
        <w:spacing w:line="480" w:lineRule="auto"/>
        <w:ind w:firstLine="360" w:firstLineChars="200"/>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党中央在党的十八大报</w:t>
      </w:r>
      <w:bookmarkStart w:id="0" w:name="_GoBack"/>
      <w:bookmarkEnd w:id="0"/>
      <w:r>
        <w:rPr>
          <w:rFonts w:hint="eastAsia" w:ascii="微软雅黑" w:hAnsi="微软雅黑" w:eastAsia="微软雅黑" w:cs="微软雅黑"/>
          <w:i w:val="0"/>
          <w:sz w:val="18"/>
          <w:szCs w:val="18"/>
          <w:bdr w:val="none" w:color="auto" w:sz="0" w:space="0"/>
          <w:shd w:val="clear" w:fill="FFFFFF"/>
        </w:rPr>
        <w:t>告中作出“建设海洋强国”的重大战略部署，在党的十九大报告中明确提出“加快建设海洋强国”的新要求。我国海洋油气资源丰富，其中大多数来自深海。要开发深海资源，需要建设一系列重大深海工程。然而，我国现有的深海工程技术与实际生产需求的差距很大。目前我国只掌握了300米以下水深的浅水油气开采技术。从浅水迈向深海，需要克服一系列巨大挑战，包括水面强动力等严酷的海况、海底地基土软弱且难以处理等。深海工程的水面结构设计与浅海工程差别较大，但是深海工程的海底结构设计与浅海工程差别更大。我国深海海底结构既没有规范、又缺乏经验可循，海底锚固系统、海底管道系统、海底水合物开采井系统等海底结构事故或破坏引起的整体工程失效或破坏，是我国深海工程安全面临的瓶颈问题。</w:t>
      </w:r>
    </w:p>
    <w:p>
      <w:pPr>
        <w:pStyle w:val="3"/>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w:t>
      </w:r>
      <w:r>
        <w:rPr>
          <w:rStyle w:val="5"/>
          <w:rFonts w:hint="eastAsia" w:ascii="微软雅黑" w:hAnsi="微软雅黑" w:eastAsia="微软雅黑" w:cs="微软雅黑"/>
          <w:i w:val="0"/>
          <w:sz w:val="18"/>
          <w:szCs w:val="18"/>
          <w:bdr w:val="none" w:color="auto" w:sz="0" w:space="0"/>
          <w:shd w:val="clear" w:fill="FFFFFF"/>
        </w:rPr>
        <w:t>一、科学目标</w:t>
      </w:r>
    </w:p>
    <w:p>
      <w:pPr>
        <w:pStyle w:val="3"/>
        <w:keepNext w:val="0"/>
        <w:keepLines w:val="0"/>
        <w:widowControl/>
        <w:suppressLineNumbers w:val="0"/>
        <w:spacing w:line="480" w:lineRule="auto"/>
        <w:jc w:val="both"/>
        <w:rPr>
          <w:rFonts w:hint="eastAsia" w:ascii="微软雅黑" w:hAnsi="微软雅黑" w:eastAsia="微软雅黑" w:cs="微软雅黑"/>
        </w:rPr>
      </w:pPr>
      <w:r>
        <w:rPr>
          <w:rStyle w:val="5"/>
          <w:rFonts w:hint="eastAsia" w:ascii="微软雅黑" w:hAnsi="微软雅黑" w:eastAsia="微软雅黑" w:cs="微软雅黑"/>
          <w:i w:val="0"/>
          <w:sz w:val="18"/>
          <w:szCs w:val="18"/>
          <w:bdr w:val="none" w:color="auto" w:sz="0" w:space="0"/>
          <w:shd w:val="clear" w:fill="FFFFFF"/>
        </w:rPr>
        <w:t>　　</w:t>
      </w:r>
      <w:r>
        <w:rPr>
          <w:rFonts w:hint="eastAsia" w:ascii="微软雅黑" w:hAnsi="微软雅黑" w:eastAsia="微软雅黑" w:cs="微软雅黑"/>
          <w:i w:val="0"/>
          <w:sz w:val="18"/>
          <w:szCs w:val="18"/>
          <w:bdr w:val="none" w:color="auto" w:sz="0" w:space="0"/>
          <w:shd w:val="clear" w:fill="FFFFFF"/>
        </w:rPr>
        <w:t>深海工程的海底锚固系统、海底管道系统、海底水合物开采井系统等海底结构事故或破坏，多缘于对深海土特性、深海土与结构的相互作用等基本规律认识不够。深入开展面向土力学与岩土工程及土与结构相互作用的相关基础研究是非常必要和迫切的，针对该领域研究前沿“深海土与结构的界面弱化理论及工程安全分析方法”，本项目拟实现以下科学目标。在深海土的组构演化与热传导-渗流/扩散-力学-化学多过程耦合的关联机制、深海工程条件下土与结构界面的弱化特性等方面取得突破性进展。同时，结合中国南海开发实际，针对海底锚固系统、海底管道系统、海底水合物开采井系统等海底结构，提出合理有效的深海工程海底结构安全的分析方法和设计指导。</w:t>
      </w:r>
    </w:p>
    <w:p>
      <w:pPr>
        <w:pStyle w:val="3"/>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w:t>
      </w:r>
      <w:r>
        <w:rPr>
          <w:rStyle w:val="5"/>
          <w:rFonts w:hint="eastAsia" w:ascii="微软雅黑" w:hAnsi="微软雅黑" w:eastAsia="微软雅黑" w:cs="微软雅黑"/>
          <w:i w:val="0"/>
          <w:sz w:val="18"/>
          <w:szCs w:val="18"/>
          <w:bdr w:val="none" w:color="auto" w:sz="0" w:space="0"/>
          <w:shd w:val="clear" w:fill="FFFFFF"/>
        </w:rPr>
        <w:t>二、研究内容</w:t>
      </w:r>
    </w:p>
    <w:p>
      <w:pPr>
        <w:pStyle w:val="3"/>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（一）深海土组构演化与多过程耦合的相互作用。</w:t>
      </w:r>
    </w:p>
    <w:p>
      <w:pPr>
        <w:pStyle w:val="3"/>
        <w:keepNext w:val="0"/>
        <w:keepLines w:val="0"/>
        <w:widowControl/>
        <w:suppressLineNumbers w:val="0"/>
        <w:spacing w:line="480" w:lineRule="auto"/>
        <w:jc w:val="left"/>
        <w:rPr>
          <w:rFonts w:hint="eastAsia" w:ascii="微软雅黑" w:hAnsi="微软雅黑" w:eastAsia="微软雅黑" w:cs="微软雅黑"/>
        </w:rPr>
      </w:pPr>
      <w:r>
        <w:rPr>
          <w:rStyle w:val="5"/>
          <w:rFonts w:hint="eastAsia" w:ascii="微软雅黑" w:hAnsi="微软雅黑" w:eastAsia="微软雅黑" w:cs="微软雅黑"/>
          <w:i w:val="0"/>
          <w:sz w:val="18"/>
          <w:szCs w:val="18"/>
          <w:bdr w:val="none" w:color="auto" w:sz="0" w:space="0"/>
          <w:shd w:val="clear" w:fill="FFFFFF"/>
        </w:rPr>
        <w:t>　　</w:t>
      </w:r>
      <w:r>
        <w:rPr>
          <w:rFonts w:hint="eastAsia" w:ascii="微软雅黑" w:hAnsi="微软雅黑" w:eastAsia="微软雅黑" w:cs="微软雅黑"/>
          <w:i w:val="0"/>
          <w:sz w:val="18"/>
          <w:szCs w:val="18"/>
          <w:bdr w:val="none" w:color="auto" w:sz="0" w:space="0"/>
          <w:shd w:val="clear" w:fill="FFFFFF"/>
        </w:rPr>
        <w:t>主要研究多过程耦合下组构演化、多过程耦合下组构演化对力学特性的影响、考虑组构演化的本构关系和多过程耦合模型与分析方法。</w:t>
      </w:r>
    </w:p>
    <w:p>
      <w:pPr>
        <w:pStyle w:val="3"/>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（二）深海土与抗拔结构界面的演化特性。</w:t>
      </w:r>
    </w:p>
    <w:p>
      <w:pPr>
        <w:pStyle w:val="3"/>
        <w:keepNext w:val="0"/>
        <w:keepLines w:val="0"/>
        <w:widowControl/>
        <w:suppressLineNumbers w:val="0"/>
        <w:spacing w:line="480" w:lineRule="auto"/>
        <w:jc w:val="left"/>
        <w:rPr>
          <w:rFonts w:hint="eastAsia" w:ascii="微软雅黑" w:hAnsi="微软雅黑" w:eastAsia="微软雅黑" w:cs="微软雅黑"/>
        </w:rPr>
      </w:pPr>
      <w:r>
        <w:rPr>
          <w:rStyle w:val="5"/>
          <w:rFonts w:hint="eastAsia" w:ascii="微软雅黑" w:hAnsi="微软雅黑" w:eastAsia="微软雅黑" w:cs="微软雅黑"/>
          <w:i w:val="0"/>
          <w:sz w:val="18"/>
          <w:szCs w:val="18"/>
          <w:bdr w:val="none" w:color="auto" w:sz="0" w:space="0"/>
          <w:shd w:val="clear" w:fill="FFFFFF"/>
        </w:rPr>
        <w:t>　　</w:t>
      </w:r>
      <w:r>
        <w:rPr>
          <w:rFonts w:hint="eastAsia" w:ascii="微软雅黑" w:hAnsi="微软雅黑" w:eastAsia="微软雅黑" w:cs="微软雅黑"/>
          <w:i w:val="0"/>
          <w:sz w:val="18"/>
          <w:szCs w:val="18"/>
          <w:bdr w:val="none" w:color="auto" w:sz="0" w:space="0"/>
          <w:shd w:val="clear" w:fill="FFFFFF"/>
        </w:rPr>
        <w:t>主要研究微结构坍塌和水膜富集过程及其与软化特性的关联规律、微结构胶结和触变过程及其与宏观承载特性关联规律、渐进破坏和海底结构抗拔承载力的分析方法。</w:t>
      </w:r>
    </w:p>
    <w:p>
      <w:pPr>
        <w:pStyle w:val="3"/>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（三）深海土与油气管缆的相互作用。</w:t>
      </w:r>
    </w:p>
    <w:p>
      <w:pPr>
        <w:pStyle w:val="3"/>
        <w:keepNext w:val="0"/>
        <w:keepLines w:val="0"/>
        <w:widowControl/>
        <w:suppressLineNumbers w:val="0"/>
        <w:spacing w:line="480" w:lineRule="auto"/>
        <w:jc w:val="left"/>
        <w:rPr>
          <w:rFonts w:hint="eastAsia" w:ascii="微软雅黑" w:hAnsi="微软雅黑" w:eastAsia="微软雅黑" w:cs="微软雅黑"/>
        </w:rPr>
      </w:pPr>
      <w:r>
        <w:rPr>
          <w:rStyle w:val="5"/>
          <w:rFonts w:hint="eastAsia" w:ascii="微软雅黑" w:hAnsi="微软雅黑" w:eastAsia="微软雅黑" w:cs="微软雅黑"/>
          <w:i w:val="0"/>
          <w:sz w:val="18"/>
          <w:szCs w:val="18"/>
          <w:bdr w:val="none" w:color="auto" w:sz="0" w:space="0"/>
          <w:shd w:val="clear" w:fill="FFFFFF"/>
        </w:rPr>
        <w:t>　　</w:t>
      </w:r>
      <w:r>
        <w:rPr>
          <w:rFonts w:hint="eastAsia" w:ascii="微软雅黑" w:hAnsi="微软雅黑" w:eastAsia="微软雅黑" w:cs="微软雅黑"/>
          <w:i w:val="0"/>
          <w:sz w:val="18"/>
          <w:szCs w:val="18"/>
          <w:bdr w:val="none" w:color="auto" w:sz="0" w:space="0"/>
          <w:shd w:val="clear" w:fill="FFFFFF"/>
        </w:rPr>
        <w:t>主要研究组构演化和强度变化及管缆与土相互作用、沉积物运移下管缆结构动力响应特性、高压和输送介质温度变化下管道稳定性。</w:t>
      </w:r>
    </w:p>
    <w:p>
      <w:pPr>
        <w:pStyle w:val="3"/>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（四）深海土与天然气水合物开采井的相互作用。</w:t>
      </w:r>
    </w:p>
    <w:p>
      <w:pPr>
        <w:pStyle w:val="3"/>
        <w:keepNext w:val="0"/>
        <w:keepLines w:val="0"/>
        <w:widowControl/>
        <w:suppressLineNumbers w:val="0"/>
        <w:spacing w:line="480" w:lineRule="auto"/>
        <w:jc w:val="left"/>
        <w:rPr>
          <w:rFonts w:hint="eastAsia" w:ascii="微软雅黑" w:hAnsi="微软雅黑" w:eastAsia="微软雅黑" w:cs="微软雅黑"/>
        </w:rPr>
      </w:pPr>
      <w:r>
        <w:rPr>
          <w:rStyle w:val="5"/>
          <w:rFonts w:hint="eastAsia" w:ascii="微软雅黑" w:hAnsi="微软雅黑" w:eastAsia="微软雅黑" w:cs="微软雅黑"/>
          <w:i w:val="0"/>
          <w:sz w:val="18"/>
          <w:szCs w:val="18"/>
          <w:bdr w:val="none" w:color="auto" w:sz="0" w:space="0"/>
          <w:shd w:val="clear" w:fill="FFFFFF"/>
        </w:rPr>
        <w:t>　　</w:t>
      </w:r>
      <w:r>
        <w:rPr>
          <w:rFonts w:hint="eastAsia" w:ascii="微软雅黑" w:hAnsi="微软雅黑" w:eastAsia="微软雅黑" w:cs="微软雅黑"/>
          <w:i w:val="0"/>
          <w:sz w:val="18"/>
          <w:szCs w:val="18"/>
          <w:bdr w:val="none" w:color="auto" w:sz="0" w:space="0"/>
          <w:shd w:val="clear" w:fill="FFFFFF"/>
        </w:rPr>
        <w:t>主要研究天然气水合物分解对力学特性的影响、开采扰动下的相变特性及开采井失效破坏、开采扰动下的井筒内多相流过程及开采井稳定性。</w:t>
      </w:r>
    </w:p>
    <w:p>
      <w:pPr>
        <w:pStyle w:val="3"/>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（五）深海土与海底结构相互作用及海底结构设计。</w:t>
      </w:r>
    </w:p>
    <w:p>
      <w:pPr>
        <w:pStyle w:val="3"/>
        <w:keepNext w:val="0"/>
        <w:keepLines w:val="0"/>
        <w:widowControl/>
        <w:suppressLineNumbers w:val="0"/>
        <w:spacing w:line="480" w:lineRule="auto"/>
        <w:jc w:val="left"/>
        <w:rPr>
          <w:rFonts w:hint="eastAsia" w:ascii="微软雅黑" w:hAnsi="微软雅黑" w:eastAsia="微软雅黑" w:cs="微软雅黑"/>
        </w:rPr>
      </w:pPr>
      <w:r>
        <w:rPr>
          <w:rStyle w:val="5"/>
          <w:rFonts w:hint="eastAsia" w:ascii="微软雅黑" w:hAnsi="微软雅黑" w:eastAsia="微软雅黑" w:cs="微软雅黑"/>
          <w:i w:val="0"/>
          <w:sz w:val="18"/>
          <w:szCs w:val="18"/>
          <w:bdr w:val="none" w:color="auto" w:sz="0" w:space="0"/>
          <w:shd w:val="clear" w:fill="FFFFFF"/>
        </w:rPr>
        <w:t>　　</w:t>
      </w:r>
      <w:r>
        <w:rPr>
          <w:rFonts w:hint="eastAsia" w:ascii="微软雅黑" w:hAnsi="微软雅黑" w:eastAsia="微软雅黑" w:cs="微软雅黑"/>
          <w:i w:val="0"/>
          <w:sz w:val="18"/>
          <w:szCs w:val="18"/>
          <w:bdr w:val="none" w:color="auto" w:sz="0" w:space="0"/>
          <w:shd w:val="clear" w:fill="FFFFFF"/>
        </w:rPr>
        <w:t>主要研究软化、液化、相变特性等的界面演化理论、考虑多过程耦合的相互作用分析、考虑界面演化的承载力计算、深海海底结构的安全设计和安装技术。</w:t>
      </w:r>
    </w:p>
    <w:p>
      <w:pPr>
        <w:pStyle w:val="3"/>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w:t>
      </w:r>
      <w:r>
        <w:rPr>
          <w:rStyle w:val="5"/>
          <w:rFonts w:hint="eastAsia" w:ascii="微软雅黑" w:hAnsi="微软雅黑" w:eastAsia="微软雅黑" w:cs="微软雅黑"/>
          <w:i w:val="0"/>
          <w:sz w:val="18"/>
          <w:szCs w:val="18"/>
          <w:bdr w:val="none" w:color="auto" w:sz="0" w:space="0"/>
          <w:shd w:val="clear" w:fill="FFFFFF"/>
        </w:rPr>
        <w:t>三、申请注意事项</w:t>
      </w:r>
    </w:p>
    <w:p>
      <w:pPr>
        <w:pStyle w:val="3"/>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（一）申请书的附注说明选择“深海土与结构的界面弱化理论及工程安全”，申请代码1选择E0907。</w:t>
      </w:r>
    </w:p>
    <w:p>
      <w:pPr>
        <w:pStyle w:val="3"/>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（二）申请人申请的直接费用预算不得超过2000万元/项（含2000万元/项）。</w:t>
      </w:r>
    </w:p>
    <w:p>
      <w:pPr>
        <w:pStyle w:val="3"/>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（三）本项目由工程与材料科学部负责受理。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C37511"/>
    <w:rsid w:val="5DC37511"/>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44"/>
      <w:sz w:val="24"/>
      <w:szCs w:val="24"/>
      <w:lang w:val="en-US" w:eastAsia="zh-CN" w:bidi="ar"/>
    </w:rPr>
  </w:style>
  <w:style w:type="character" w:default="1" w:styleId="4">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150" w:beforeAutospacing="0" w:after="150" w:afterAutospacing="0" w:line="360" w:lineRule="auto"/>
      <w:ind w:left="0" w:right="0"/>
      <w:jc w:val="left"/>
    </w:pPr>
    <w:rPr>
      <w:rFonts w:hint="eastAsia" w:ascii="宋体" w:hAnsi="宋体" w:eastAsia="宋体" w:cs="宋体"/>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rFonts w:hint="eastAsia" w:ascii="微软雅黑" w:hAnsi="微软雅黑" w:eastAsia="微软雅黑" w:cs="微软雅黑"/>
      <w:color w:val="333333"/>
      <w:u w:val="none"/>
    </w:rPr>
  </w:style>
  <w:style w:type="character" w:styleId="7">
    <w:name w:val="Hyperlink"/>
    <w:basedOn w:val="4"/>
    <w:uiPriority w:val="0"/>
    <w:rPr>
      <w:rFonts w:ascii="微软雅黑" w:hAnsi="微软雅黑" w:eastAsia="微软雅黑" w:cs="微软雅黑"/>
      <w:color w:val="333333"/>
      <w:u w:val="none"/>
    </w:rPr>
  </w:style>
  <w:style w:type="character" w:customStyle="1" w:styleId="9">
    <w:name w:val="on"/>
    <w:basedOn w:val="4"/>
    <w:uiPriority w:val="0"/>
  </w:style>
  <w:style w:type="paragraph" w:styleId="10">
    <w:name w:val=""/>
    <w:basedOn w:val="1"/>
    <w:next w:val="1"/>
    <w:uiPriority w:val="0"/>
    <w:pPr>
      <w:pBdr>
        <w:bottom w:val="single" w:color="auto" w:sz="6" w:space="1"/>
      </w:pBdr>
      <w:jc w:val="center"/>
    </w:pPr>
    <w:rPr>
      <w:rFonts w:ascii="Arial" w:eastAsia="宋体"/>
      <w:vanish/>
      <w:sz w:val="16"/>
    </w:rPr>
  </w:style>
  <w:style w:type="paragraph" w:styleId="11">
    <w:name w:val=""/>
    <w:basedOn w:val="1"/>
    <w:next w:val="1"/>
    <w:uiPriority w:val="0"/>
    <w:pPr>
      <w:pBdr>
        <w:top w:val="single" w:color="auto" w:sz="6" w:space="1"/>
      </w:pBdr>
      <w:jc w:val="center"/>
    </w:pPr>
    <w:rPr>
      <w:rFonts w:ascii="Arial" w:eastAsia="宋体"/>
      <w:vanish/>
      <w:sz w:val="16"/>
    </w:rPr>
  </w:style>
  <w:style w:type="character" w:customStyle="1" w:styleId="12">
    <w:name w:val="on1"/>
    <w:basedOn w:val="4"/>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2018-07-13T00:49:00Z</dcterms:created>
  <dc:creator>小猪佩琪</dc:creator>
  <cp:lastModifiedBy>小猪佩琪</cp:lastModifiedBy>
  <dcterms:modified xsi:type="dcterms:W3CDTF">2018-07-13T00:50:43Z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