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  <w:t>“中药道地性研究”重大项目指南</w:t>
      </w:r>
    </w:p>
    <w:bookmarkEnd w:id="0"/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中药道地性是中药药性的重要组成部分，是中药材的专属特征，其形成秉承遗传之变化，秉受环境之异同，体现了“性-效”关系，是产生临床疗效差异的药物属性。道地药材作为优质药材的传统代名词，是道地性理论的载体，充分体现中医药理论内涵。中药道地性理论反映了中医对药物与自然关系的认识，是对中药材质量认识的传统理念和控制模式。当前，人们对药材的真伪优劣，道地或非道地的评价从以往的经验鉴别为主，过渡到以关注化学成分特征为主，但这些独特性“指标”成分的形成规律、质量与疗效关联性，尚需深入研究，从而将道地性理论科学价值与道地药材疗效优势得到充分发挥。中药道地性科学内涵的揭示和评价体系的建立、道地药材资源可持续发展已成为中药学学科的重要课题，开展中药道地性研究是保障中药材质量和中医药临床疗效的关键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一、科学目标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以代表性道地药材为研究对象，围绕道地药材形成过程中“遗传成因”、“环境成因”、“物质基础”和“中药道地性与其药效相关性”四大关键科学问题，在生物学、生态学、化学、药理学和医学等多个层面，结合现代科学研究方法开展多学科交叉研究，从揭示中药道地性成因入手，明确中药道地性的遗传、环境及其交互作用机制，阐释道地药材临床优效性的独特化学成分形成机理，揭示中药道地性的物质基础及其形成的科学内涵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二、研究内容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（一）中药道地性遗传成因。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（二）中药道地性环境成因。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（三）中药道地性物质基础。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（四）中药道地性“性-效”关系研究。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三、申请注意事项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（一）本项目要求针对上述四部分研究内容，分别设置4个课题。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（二）申请书的附注说明选择“中药道地性研究”，申请代码1选择H28。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 申请人申请的直接费用预算不得超过1700万元/项（含1700万元/项）。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（四）本项目由医学科学部负责受理。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44160"/>
    <w:rsid w:val="6D535020"/>
    <w:rsid w:val="79B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8">
    <w:name w:val="on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2018-07-12T09:30:00Z</dcterms:created>
  <dc:creator>小猪佩琪</dc:creator>
  <cp:lastModifiedBy>小猪佩琪</cp:lastModifiedBy>
  <dcterms:modified xsi:type="dcterms:W3CDTF">2018-07-12T09:31:04Z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